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Ind w:w="93" w:type="dxa"/>
        <w:tblLook w:val="04A0" w:firstRow="1" w:lastRow="0" w:firstColumn="1" w:lastColumn="0" w:noHBand="0" w:noVBand="1"/>
      </w:tblPr>
      <w:tblGrid>
        <w:gridCol w:w="2567"/>
        <w:gridCol w:w="10048"/>
        <w:gridCol w:w="1260"/>
      </w:tblGrid>
      <w:tr w:rsidR="005A639A" w:rsidTr="005A639A">
        <w:trPr>
          <w:trHeight w:val="570"/>
        </w:trPr>
        <w:tc>
          <w:tcPr>
            <w:tcW w:w="12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A639A" w:rsidRDefault="005A639A" w:rsidP="005D7F62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附件1</w:t>
            </w: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 xml:space="preserve">                  </w:t>
            </w:r>
            <w:r w:rsidR="00E540BA">
              <w:rPr>
                <w:rFonts w:ascii="黑体" w:eastAsia="黑体" w:hAnsi="宋体" w:cs="宋体" w:hint="eastAsia"/>
                <w:kern w:val="0"/>
                <w:sz w:val="32"/>
                <w:szCs w:val="36"/>
              </w:rPr>
              <w:t xml:space="preserve"> 20</w:t>
            </w:r>
            <w:r w:rsidR="00C02E3D">
              <w:rPr>
                <w:rFonts w:ascii="黑体" w:eastAsia="黑体" w:hAnsi="宋体" w:cs="宋体" w:hint="eastAsia"/>
                <w:kern w:val="0"/>
                <w:sz w:val="32"/>
                <w:szCs w:val="36"/>
              </w:rPr>
              <w:t>2</w:t>
            </w:r>
            <w:r w:rsidR="005D7F62">
              <w:rPr>
                <w:rFonts w:ascii="黑体" w:eastAsia="黑体" w:hAnsi="宋体" w:cs="宋体" w:hint="eastAsia"/>
                <w:kern w:val="0"/>
                <w:sz w:val="32"/>
                <w:szCs w:val="36"/>
              </w:rPr>
              <w:t>1</w:t>
            </w:r>
            <w:r>
              <w:rPr>
                <w:rFonts w:ascii="黑体" w:eastAsia="黑体" w:hAnsi="宋体" w:cs="宋体" w:hint="eastAsia"/>
                <w:kern w:val="0"/>
                <w:sz w:val="32"/>
                <w:szCs w:val="36"/>
              </w:rPr>
              <w:t>年医学部工会重点工作考核指标表</w:t>
            </w:r>
          </w:p>
        </w:tc>
        <w:tc>
          <w:tcPr>
            <w:tcW w:w="1260" w:type="dxa"/>
            <w:noWrap/>
            <w:vAlign w:val="bottom"/>
          </w:tcPr>
          <w:p w:rsidR="005A639A" w:rsidRDefault="005A639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639A" w:rsidTr="005A639A">
        <w:trPr>
          <w:trHeight w:val="4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39A" w:rsidRDefault="005A63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指标名称</w:t>
            </w:r>
          </w:p>
        </w:tc>
        <w:tc>
          <w:tcPr>
            <w:tcW w:w="10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639A" w:rsidRDefault="005A639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主要检查内容及标准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639A" w:rsidRDefault="005A639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自评分</w:t>
            </w:r>
          </w:p>
        </w:tc>
      </w:tr>
      <w:tr w:rsidR="005A639A" w:rsidTr="005A639A">
        <w:trPr>
          <w:trHeight w:val="10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1.贯彻与落实各级会议精神（15分）</w:t>
            </w:r>
          </w:p>
        </w:tc>
        <w:tc>
          <w:tcPr>
            <w:tcW w:w="10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1.1 及时向党委汇报医学部工会委员会工作会议和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医学部教代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会等重要会议精神</w:t>
            </w:r>
            <w:r w:rsidR="00BA3F62">
              <w:rPr>
                <w:rFonts w:ascii="仿宋_GB2312" w:eastAsia="仿宋_GB2312" w:hAnsi="宋体" w:cs="宋体" w:hint="eastAsia"/>
                <w:kern w:val="0"/>
                <w:szCs w:val="21"/>
              </w:rPr>
              <w:t>（5分）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。★</w:t>
            </w:r>
          </w:p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1.2 及时召开会议贯彻落实上级组织会议精神，</w:t>
            </w:r>
            <w:r w:rsidR="00BA3F62">
              <w:rPr>
                <w:rFonts w:ascii="仿宋_GB2312" w:eastAsia="仿宋_GB2312" w:hAnsi="宋体" w:cs="宋体" w:hint="eastAsia"/>
                <w:kern w:val="0"/>
                <w:szCs w:val="21"/>
              </w:rPr>
              <w:t>开展政治理论学习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并出台相关文件</w:t>
            </w:r>
            <w:r w:rsidR="00BA3F62">
              <w:rPr>
                <w:rFonts w:ascii="仿宋_GB2312" w:eastAsia="仿宋_GB2312" w:hAnsi="宋体" w:cs="宋体" w:hint="eastAsia"/>
                <w:kern w:val="0"/>
                <w:szCs w:val="21"/>
              </w:rPr>
              <w:t>（5分）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  <w:p w:rsidR="005A639A" w:rsidRDefault="005A639A" w:rsidP="00BA3F6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1.3 党委定期召开会议研究工会工作，每学年至少两次</w:t>
            </w:r>
            <w:r w:rsidR="00BA3F62">
              <w:rPr>
                <w:rFonts w:ascii="仿宋_GB2312" w:eastAsia="仿宋_GB2312" w:hAnsi="宋体" w:cs="宋体" w:hint="eastAsia"/>
                <w:kern w:val="0"/>
                <w:szCs w:val="21"/>
              </w:rPr>
              <w:t>（5分）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A639A" w:rsidTr="005A639A">
        <w:trPr>
          <w:trHeight w:val="10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A" w:rsidRDefault="005A639A" w:rsidP="00BA3F6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2.教代会建设（1</w:t>
            </w:r>
            <w:r w:rsidR="00BA3F62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0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2.1本年度召开院级教代会，按教育部32号令要求按时换届</w:t>
            </w:r>
            <w:r w:rsidR="00BA3F62">
              <w:rPr>
                <w:rFonts w:ascii="仿宋_GB2312" w:eastAsia="仿宋_GB2312" w:hAnsi="宋体" w:cs="宋体" w:hint="eastAsia"/>
                <w:kern w:val="0"/>
                <w:szCs w:val="21"/>
              </w:rPr>
              <w:t>（5分）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2.2教代会代表培训1-2次、提案答复落实率90%</w:t>
            </w:r>
            <w:r w:rsidR="00BA3F62">
              <w:rPr>
                <w:rFonts w:ascii="仿宋_GB2312" w:eastAsia="仿宋_GB2312" w:hAnsi="宋体" w:cs="宋体" w:hint="eastAsia"/>
                <w:kern w:val="0"/>
                <w:szCs w:val="21"/>
              </w:rPr>
              <w:t>(3分)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2.3本单位代表参加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医学部教代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会出席率85%以上</w:t>
            </w:r>
            <w:r w:rsidR="00BA3F62">
              <w:rPr>
                <w:rFonts w:ascii="仿宋_GB2312" w:eastAsia="仿宋_GB2312" w:hAnsi="宋体" w:cs="宋体" w:hint="eastAsia"/>
                <w:kern w:val="0"/>
                <w:szCs w:val="21"/>
              </w:rPr>
              <w:t>（2分）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  <w:p w:rsidR="005A639A" w:rsidRDefault="005A639A" w:rsidP="00BA3F6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2.4本单位涉及教职工权益重大事项的决策、规章、条例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等经教代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会审议通过</w:t>
            </w:r>
            <w:r w:rsidR="00BA3F62">
              <w:rPr>
                <w:rFonts w:ascii="仿宋_GB2312" w:eastAsia="仿宋_GB2312" w:hAnsi="宋体" w:cs="宋体" w:hint="eastAsia"/>
                <w:kern w:val="0"/>
                <w:szCs w:val="21"/>
              </w:rPr>
              <w:t>（2分）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A639A" w:rsidTr="005A639A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A" w:rsidRDefault="005A639A" w:rsidP="00BA3F6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3.经费</w:t>
            </w:r>
            <w:r w:rsidR="00BA3F62">
              <w:rPr>
                <w:rFonts w:ascii="仿宋_GB2312" w:eastAsia="仿宋_GB2312" w:hAnsi="宋体" w:cs="宋体" w:hint="eastAsia"/>
                <w:kern w:val="0"/>
                <w:szCs w:val="21"/>
              </w:rPr>
              <w:t>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（10分）</w:t>
            </w:r>
          </w:p>
        </w:tc>
        <w:tc>
          <w:tcPr>
            <w:tcW w:w="10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A" w:rsidRDefault="005A639A" w:rsidP="00BA3F6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3.1足额完成工会经费收缴上解任务</w:t>
            </w:r>
            <w:r w:rsidR="00BA3F62">
              <w:rPr>
                <w:rFonts w:ascii="仿宋_GB2312" w:eastAsia="仿宋_GB2312" w:hAnsi="宋体" w:cs="宋体" w:hint="eastAsia"/>
                <w:kern w:val="0"/>
                <w:szCs w:val="21"/>
              </w:rPr>
              <w:t>（5分）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。★</w:t>
            </w:r>
          </w:p>
          <w:p w:rsidR="00BA3F62" w:rsidRDefault="00BA3F62" w:rsidP="00BA3F6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3.2组织缴纳会费（2分）。</w:t>
            </w:r>
          </w:p>
          <w:p w:rsidR="00BA3F62" w:rsidRDefault="00BA3F62" w:rsidP="00BA3F6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3.3经费预算执行率达95%以上（3分）。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39A" w:rsidRDefault="005A639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A639A" w:rsidTr="005A639A">
        <w:trPr>
          <w:trHeight w:val="13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A" w:rsidRDefault="005A639A" w:rsidP="00126EBF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4.自身建设（</w:t>
            </w:r>
            <w:r w:rsidR="00126EBF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  <w:r w:rsidR="00BA3F62">
              <w:rPr>
                <w:rFonts w:ascii="仿宋_GB2312" w:eastAsia="仿宋_GB2312" w:hAnsi="宋体" w:cs="宋体" w:hint="eastAsia"/>
                <w:kern w:val="0"/>
                <w:szCs w:val="21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0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4.1及时开展会员信息采集工作，数据准确，采集率达到90%以上（以2014年上报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市总年统计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会员数、涵盖法人单位数为基数）</w:t>
            </w:r>
            <w:r w:rsidR="00BA3F62">
              <w:rPr>
                <w:rFonts w:ascii="仿宋_GB2312" w:eastAsia="仿宋_GB2312" w:hAnsi="宋体" w:cs="宋体" w:hint="eastAsia"/>
                <w:kern w:val="0"/>
                <w:szCs w:val="21"/>
              </w:rPr>
              <w:t>(3分)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4.2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一年召开工会委员会2次以上</w:t>
            </w:r>
            <w:r w:rsidR="00BA3F6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(3分)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5A639A" w:rsidRDefault="005A639A" w:rsidP="00126EBF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4.3</w:t>
            </w:r>
            <w:r w:rsidR="00BA3F62">
              <w:rPr>
                <w:rFonts w:ascii="仿宋_GB2312" w:eastAsia="仿宋_GB2312" w:hAnsi="宋体" w:cs="宋体" w:hint="eastAsia"/>
                <w:kern w:val="0"/>
                <w:szCs w:val="21"/>
              </w:rPr>
              <w:t>两年内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至少有1个科室荣获北京大学模范职工小家称号</w:t>
            </w:r>
            <w:r w:rsidR="00BA3F6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(2分)</w:t>
            </w:r>
            <w:r w:rsidR="00BA3F62">
              <w:rPr>
                <w:rFonts w:ascii="仿宋_GB2312" w:eastAsia="仿宋_GB2312" w:hAnsi="宋体" w:cs="宋体" w:hint="eastAsia"/>
                <w:kern w:val="0"/>
                <w:szCs w:val="21"/>
              </w:rPr>
              <w:t>，北京市级以上先进或模范职工小家或暖心驿站</w:t>
            </w:r>
            <w:r w:rsidR="00BA3F6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(</w:t>
            </w:r>
            <w:r w:rsidR="00126EB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 w:rsidR="00BA3F6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分)。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A639A" w:rsidTr="005A639A">
        <w:trPr>
          <w:trHeight w:val="10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A" w:rsidRDefault="005A639A" w:rsidP="004E32F2">
            <w:pPr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5.宣传工作（</w:t>
            </w:r>
            <w:r w:rsidR="004E32F2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0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5.1认真完成报刊订阅指标</w:t>
            </w:r>
            <w:r w:rsidR="004E32F2">
              <w:rPr>
                <w:rFonts w:ascii="仿宋_GB2312" w:eastAsia="仿宋_GB2312" w:hAnsi="宋体" w:cs="宋体" w:hint="eastAsia"/>
                <w:kern w:val="0"/>
                <w:szCs w:val="21"/>
              </w:rPr>
              <w:t>（2分）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  <w:p w:rsidR="005A639A" w:rsidRDefault="005A639A">
            <w:pPr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5.2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医学部工会网站和《教工之声》采用本单位信息稿件，1000人以上每年刊登10篇以上，照片10张，会员稿件2篇以上；1000人以下每年刊登稿件5篇，照片5张，会员稿件1篇</w:t>
            </w:r>
            <w:r w:rsidR="004E32F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(3分)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4E32F2" w:rsidRDefault="004E32F2" w:rsidP="004E32F2">
            <w:pPr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5.3每年在“北医教工微语”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平台微信推送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文章5篇以上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(3分)。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5A639A" w:rsidRDefault="005A639A">
            <w:pPr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A639A" w:rsidTr="005A639A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A" w:rsidRDefault="005A639A" w:rsidP="004E32F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6.福利、保险工作（</w:t>
            </w:r>
            <w:r w:rsidR="004E32F2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0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6.1积极宣传、组织教职工参加职工互助保险，赔付、慰问及时，在职职工“女工特殊疾病”和“重大疾病”互助保险达到60-70%者（</w:t>
            </w:r>
            <w:r w:rsidR="004E32F2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分），70-80%者（</w:t>
            </w:r>
            <w:r w:rsidR="004E32F2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分），80%以上者（</w:t>
            </w:r>
            <w:r w:rsidR="004E32F2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分）。</w:t>
            </w:r>
          </w:p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6.2会员京卡办理率1000人以上单位达到80%以上</w:t>
            </w:r>
            <w:r w:rsidR="00FE7976"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1000人以下单位达到60%以上</w:t>
            </w:r>
            <w:r w:rsidR="004E32F2">
              <w:rPr>
                <w:rFonts w:ascii="仿宋_GB2312" w:eastAsia="仿宋_GB2312" w:hAnsi="宋体" w:cs="宋体" w:hint="eastAsia"/>
                <w:kern w:val="0"/>
                <w:szCs w:val="21"/>
              </w:rPr>
              <w:t>（3分）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  <w:p w:rsidR="005A639A" w:rsidRDefault="005A639A" w:rsidP="004E32F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6.3建立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特困与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重病职工档案，建立重点帮扶对象定期回访制度与送温暖长效机制</w:t>
            </w:r>
            <w:r w:rsidR="004E32F2">
              <w:rPr>
                <w:rFonts w:ascii="仿宋_GB2312" w:eastAsia="仿宋_GB2312" w:hAnsi="宋体" w:cs="宋体" w:hint="eastAsia"/>
                <w:kern w:val="0"/>
                <w:szCs w:val="21"/>
              </w:rPr>
              <w:t>（2分）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A639A" w:rsidTr="005A639A">
        <w:trPr>
          <w:trHeight w:val="6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A" w:rsidRDefault="005A639A" w:rsidP="004E32F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7.文体、女工工作（</w:t>
            </w:r>
            <w:r w:rsidR="004E32F2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分）</w:t>
            </w:r>
          </w:p>
        </w:tc>
        <w:tc>
          <w:tcPr>
            <w:tcW w:w="10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A" w:rsidRDefault="005A639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7.1</w:t>
            </w:r>
            <w:r w:rsidR="00B712B3" w:rsidRPr="00B712B3">
              <w:rPr>
                <w:rFonts w:ascii="仿宋_GB2312" w:eastAsia="仿宋_GB2312" w:hAnsi="宋体" w:cs="宋体" w:hint="eastAsia"/>
                <w:kern w:val="0"/>
                <w:szCs w:val="21"/>
              </w:rPr>
              <w:t>积极参加医学部工会组织的各类文体活动及比赛，推动体育活动积分制落实（5分）。</w:t>
            </w:r>
          </w:p>
          <w:p w:rsidR="005A639A" w:rsidRDefault="005A639A" w:rsidP="004E32F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7.2积极参加医学部工会组织的女工各项活动</w:t>
            </w:r>
            <w:r w:rsidR="004E32F2">
              <w:rPr>
                <w:rFonts w:ascii="仿宋_GB2312" w:eastAsia="仿宋_GB2312" w:hAnsi="宋体" w:cs="宋体" w:hint="eastAsia"/>
                <w:kern w:val="0"/>
                <w:szCs w:val="21"/>
              </w:rPr>
              <w:t>（3分）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39A" w:rsidRDefault="005A639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5A639A" w:rsidTr="005A639A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8.职工素质教育（10分）</w:t>
            </w:r>
          </w:p>
        </w:tc>
        <w:tc>
          <w:tcPr>
            <w:tcW w:w="10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8.1积极参加医学部工会理论调研工作，</w:t>
            </w:r>
            <w:r w:rsidR="004E32F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提交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调研报告</w:t>
            </w:r>
            <w:r w:rsidR="004E32F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论文</w:t>
            </w:r>
            <w:r w:rsidR="004E32F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至少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1篇</w:t>
            </w:r>
            <w:r w:rsidR="004E32F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(4分)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  <w:p w:rsidR="005A639A" w:rsidRDefault="005A639A" w:rsidP="004E32F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8.2参加医学部青年教师教学基本功比赛、沙龙、实践等活动</w:t>
            </w:r>
            <w:r w:rsidR="004E32F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(4分)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。参加北京市、全国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级青教比赛</w:t>
            </w:r>
            <w:proofErr w:type="gramEnd"/>
            <w:r w:rsidR="004E32F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(1分)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  <w:p w:rsidR="004E32F2" w:rsidRDefault="004E32F2" w:rsidP="004E32F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8.3积极参加医学部各类职工素质教育活动2次以上(1分)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39A" w:rsidRDefault="005A639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53A14" w:rsidTr="005A639A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Pr="00946DC9" w:rsidRDefault="004E32F2">
            <w:pPr>
              <w:widowControl/>
              <w:spacing w:line="340" w:lineRule="exact"/>
              <w:jc w:val="left"/>
              <w:rPr>
                <w:rFonts w:ascii="仿宋_GB2312" w:eastAsiaTheme="minorEastAsia" w:hAnsi="宋体" w:cs="宋体"/>
                <w:kern w:val="0"/>
                <w:szCs w:val="21"/>
              </w:rPr>
            </w:pPr>
            <w:r w:rsidRPr="004E32F2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  <w:r w:rsidR="00800719">
              <w:rPr>
                <w:rFonts w:ascii="仿宋_GB2312" w:eastAsia="仿宋_GB2312" w:hAnsi="宋体" w:cs="宋体" w:hint="eastAsia"/>
                <w:kern w:val="0"/>
                <w:szCs w:val="21"/>
              </w:rPr>
              <w:t>.</w:t>
            </w:r>
            <w:r w:rsidR="00F53A14" w:rsidRPr="004E32F2">
              <w:rPr>
                <w:rFonts w:ascii="仿宋_GB2312" w:eastAsia="仿宋_GB2312" w:hAnsi="宋体" w:cs="宋体" w:hint="eastAsia"/>
                <w:kern w:val="0"/>
                <w:szCs w:val="21"/>
              </w:rPr>
              <w:t>信息化建设</w:t>
            </w:r>
            <w:r w:rsidR="00440004" w:rsidRPr="004E32F2">
              <w:rPr>
                <w:rFonts w:ascii="仿宋_GB2312" w:eastAsia="仿宋_GB2312" w:hAnsi="宋体" w:cs="宋体" w:hint="eastAsia"/>
                <w:kern w:val="0"/>
                <w:szCs w:val="21"/>
              </w:rPr>
              <w:t>（10分）</w:t>
            </w:r>
          </w:p>
        </w:tc>
        <w:tc>
          <w:tcPr>
            <w:tcW w:w="10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4" w:rsidRPr="004E32F2" w:rsidRDefault="00946DC9" w:rsidP="00F53A1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Theme="minorEastAsia" w:hAnsi="宋体" w:cs="宋体" w:hint="eastAsia"/>
                <w:kern w:val="0"/>
                <w:szCs w:val="21"/>
              </w:rPr>
              <w:t>9</w:t>
            </w:r>
            <w:r w:rsidR="00F53A14" w:rsidRPr="004E32F2">
              <w:rPr>
                <w:rFonts w:ascii="仿宋_GB2312" w:eastAsia="仿宋_GB2312" w:hAnsi="宋体" w:cs="宋体" w:hint="eastAsia"/>
                <w:kern w:val="0"/>
                <w:szCs w:val="21"/>
              </w:rPr>
              <w:t>.1积极参加信息化建设相关工作会议、培训</w:t>
            </w:r>
            <w:r w:rsidR="004E32F2" w:rsidRPr="004E32F2">
              <w:rPr>
                <w:rFonts w:ascii="仿宋_GB2312" w:eastAsia="仿宋_GB2312" w:hAnsi="宋体" w:cs="宋体" w:hint="eastAsia"/>
                <w:kern w:val="0"/>
                <w:szCs w:val="21"/>
              </w:rPr>
              <w:t>（2分）</w:t>
            </w:r>
            <w:r w:rsidR="00F53A14" w:rsidRPr="004E32F2"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  <w:p w:rsidR="00AE348A" w:rsidRPr="004E32F2" w:rsidRDefault="00946DC9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Theme="minorEastAsia" w:hAnsi="宋体" w:cs="宋体" w:hint="eastAsia"/>
                <w:kern w:val="0"/>
                <w:szCs w:val="21"/>
              </w:rPr>
              <w:t>9</w:t>
            </w:r>
            <w:r w:rsidR="00F53A14" w:rsidRPr="004E32F2">
              <w:rPr>
                <w:rFonts w:ascii="仿宋_GB2312" w:eastAsia="仿宋_GB2312" w:hAnsi="宋体" w:cs="宋体" w:hint="eastAsia"/>
                <w:kern w:val="0"/>
                <w:szCs w:val="21"/>
              </w:rPr>
              <w:t>.2</w:t>
            </w:r>
            <w:r w:rsidR="00AE348A" w:rsidRPr="004E32F2">
              <w:rPr>
                <w:rFonts w:ascii="仿宋_GB2312" w:eastAsia="仿宋_GB2312" w:hAnsi="宋体" w:cs="宋体" w:hint="eastAsia"/>
                <w:kern w:val="0"/>
                <w:szCs w:val="21"/>
              </w:rPr>
              <w:t>支持医学部工会管理系统的会员信息采集工作，数据准确</w:t>
            </w:r>
            <w:r w:rsidR="004E32F2" w:rsidRPr="004E32F2">
              <w:rPr>
                <w:rFonts w:ascii="仿宋_GB2312" w:eastAsia="仿宋_GB2312" w:hAnsi="宋体" w:cs="宋体" w:hint="eastAsia"/>
                <w:kern w:val="0"/>
                <w:szCs w:val="21"/>
              </w:rPr>
              <w:t>（2分）</w:t>
            </w:r>
            <w:r w:rsidR="00AE348A" w:rsidRPr="004E32F2"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  <w:p w:rsidR="00AE348A" w:rsidRPr="009A2F34" w:rsidRDefault="00946DC9" w:rsidP="00AE348A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Theme="minorEastAsia" w:hAnsi="宋体" w:cs="宋体" w:hint="eastAsia"/>
                <w:kern w:val="0"/>
                <w:szCs w:val="21"/>
              </w:rPr>
              <w:t>9</w:t>
            </w:r>
            <w:r w:rsidR="00F53A14" w:rsidRPr="009A2F34">
              <w:rPr>
                <w:rFonts w:ascii="仿宋_GB2312" w:eastAsia="仿宋_GB2312" w:hAnsi="宋体" w:cs="宋体" w:hint="eastAsia"/>
                <w:kern w:val="0"/>
                <w:szCs w:val="21"/>
              </w:rPr>
              <w:t>.3</w:t>
            </w:r>
            <w:r w:rsidR="00AE348A" w:rsidRPr="009A2F34">
              <w:rPr>
                <w:rFonts w:ascii="仿宋_GB2312" w:eastAsia="仿宋_GB2312" w:hAnsi="宋体" w:cs="宋体" w:hint="eastAsia"/>
                <w:kern w:val="0"/>
                <w:szCs w:val="21"/>
              </w:rPr>
              <w:t>积极参加并推广“北医教工微语”</w:t>
            </w:r>
            <w:proofErr w:type="gramStart"/>
            <w:r w:rsidR="00AE348A" w:rsidRPr="009A2F34">
              <w:rPr>
                <w:rFonts w:ascii="仿宋_GB2312" w:eastAsia="仿宋_GB2312" w:hAnsi="宋体" w:cs="宋体" w:hint="eastAsia"/>
                <w:kern w:val="0"/>
                <w:szCs w:val="21"/>
              </w:rPr>
              <w:t>微信公众号</w:t>
            </w:r>
            <w:proofErr w:type="gramEnd"/>
            <w:r w:rsidR="00800719">
              <w:rPr>
                <w:rFonts w:ascii="仿宋_GB2312" w:eastAsiaTheme="minorEastAsia" w:hAnsi="宋体" w:cs="宋体" w:hint="eastAsia"/>
                <w:kern w:val="0"/>
                <w:szCs w:val="21"/>
              </w:rPr>
              <w:t>，</w:t>
            </w:r>
            <w:r w:rsidR="00AE348A" w:rsidRPr="009A2F34">
              <w:rPr>
                <w:rFonts w:ascii="仿宋_GB2312" w:eastAsia="仿宋_GB2312" w:hAnsi="宋体" w:cs="宋体" w:hint="eastAsia"/>
                <w:kern w:val="0"/>
                <w:szCs w:val="21"/>
              </w:rPr>
              <w:t>关注率达到</w:t>
            </w:r>
            <w:r w:rsidR="009A2F34" w:rsidRPr="009A2F34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="00AE348A" w:rsidRPr="009A2F34">
              <w:rPr>
                <w:rFonts w:ascii="仿宋_GB2312" w:eastAsia="仿宋_GB2312" w:hAnsi="宋体" w:cs="宋体" w:hint="eastAsia"/>
                <w:kern w:val="0"/>
                <w:szCs w:val="21"/>
              </w:rPr>
              <w:t>0%以上</w:t>
            </w:r>
            <w:r w:rsidR="004E32F2" w:rsidRPr="009A2F34">
              <w:rPr>
                <w:rFonts w:ascii="仿宋_GB2312" w:eastAsia="仿宋_GB2312" w:hAnsi="宋体" w:cs="宋体" w:hint="eastAsia"/>
                <w:kern w:val="0"/>
                <w:szCs w:val="21"/>
              </w:rPr>
              <w:t>（2分）</w:t>
            </w:r>
            <w:r w:rsidR="00AE348A" w:rsidRPr="009A2F34"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  <w:p w:rsidR="00440004" w:rsidRPr="004E32F2" w:rsidRDefault="00946DC9" w:rsidP="001F1FE6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Theme="minorEastAsia" w:hAnsi="宋体" w:cs="宋体" w:hint="eastAsia"/>
                <w:kern w:val="0"/>
                <w:szCs w:val="21"/>
              </w:rPr>
              <w:t>9</w:t>
            </w:r>
            <w:r w:rsidR="00440004" w:rsidRPr="009A2F34">
              <w:rPr>
                <w:rFonts w:ascii="仿宋_GB2312" w:eastAsia="仿宋_GB2312" w:hAnsi="宋体" w:cs="宋体" w:hint="eastAsia"/>
                <w:kern w:val="0"/>
                <w:szCs w:val="21"/>
              </w:rPr>
              <w:t>.4积极组织工会小组长</w:t>
            </w:r>
            <w:r w:rsidR="00224A85" w:rsidRPr="001B4087">
              <w:rPr>
                <w:rFonts w:ascii="仿宋_GB2312" w:eastAsia="仿宋_GB2312" w:hAnsi="宋体" w:cs="宋体" w:hint="eastAsia"/>
                <w:kern w:val="0"/>
                <w:szCs w:val="21"/>
              </w:rPr>
              <w:t>及以上专兼职工会干部政治理论学习</w:t>
            </w:r>
            <w:r w:rsidR="00440004" w:rsidRPr="009A2F34">
              <w:rPr>
                <w:rFonts w:ascii="仿宋_GB2312" w:eastAsia="仿宋_GB2312" w:hAnsi="宋体" w:cs="宋体" w:hint="eastAsia"/>
                <w:kern w:val="0"/>
                <w:szCs w:val="21"/>
              </w:rPr>
              <w:t>每周答题</w:t>
            </w:r>
            <w:r w:rsidR="009A2F34" w:rsidRPr="009A2F34"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  <w:r w:rsidR="00220FE6" w:rsidRPr="001B4087">
              <w:rPr>
                <w:rFonts w:ascii="仿宋_GB2312" w:eastAsia="仿宋_GB2312" w:hAnsi="宋体" w:cs="宋体" w:hint="eastAsia"/>
                <w:kern w:val="0"/>
                <w:szCs w:val="21"/>
              </w:rPr>
              <w:t>年度考核</w:t>
            </w:r>
            <w:r w:rsidR="009D3A17" w:rsidRPr="001B4087">
              <w:rPr>
                <w:rFonts w:ascii="仿宋_GB2312" w:eastAsia="仿宋_GB2312" w:hAnsi="宋体" w:cs="宋体" w:hint="eastAsia"/>
                <w:kern w:val="0"/>
                <w:szCs w:val="21"/>
              </w:rPr>
              <w:t>综合答题</w:t>
            </w:r>
            <w:r w:rsidR="009A2F34" w:rsidRPr="009A2F34">
              <w:rPr>
                <w:rFonts w:ascii="仿宋_GB2312" w:eastAsia="仿宋_GB2312" w:hAnsi="宋体" w:cs="宋体" w:hint="eastAsia"/>
                <w:kern w:val="0"/>
                <w:szCs w:val="21"/>
              </w:rPr>
              <w:t>活动</w:t>
            </w:r>
            <w:r w:rsidR="004E32F2" w:rsidRPr="009A2F34">
              <w:rPr>
                <w:rFonts w:ascii="仿宋_GB2312" w:eastAsia="仿宋_GB2312" w:hAnsi="宋体" w:cs="宋体" w:hint="eastAsia"/>
                <w:kern w:val="0"/>
                <w:szCs w:val="21"/>
              </w:rPr>
              <w:t>（2分）</w:t>
            </w:r>
            <w:r w:rsidR="001F1FE6" w:rsidRPr="009A2F34"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  <w:p w:rsidR="004E32F2" w:rsidRPr="004E32F2" w:rsidRDefault="00946DC9" w:rsidP="004E32F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Theme="minorEastAsia" w:hAnsi="宋体" w:cs="宋体" w:hint="eastAsia"/>
                <w:kern w:val="0"/>
                <w:szCs w:val="21"/>
              </w:rPr>
              <w:t>9</w:t>
            </w:r>
            <w:r w:rsidR="004E32F2" w:rsidRPr="004E32F2">
              <w:rPr>
                <w:rFonts w:ascii="仿宋_GB2312" w:eastAsia="仿宋_GB2312" w:hAnsi="宋体" w:cs="宋体" w:hint="eastAsia"/>
                <w:kern w:val="0"/>
                <w:szCs w:val="21"/>
              </w:rPr>
              <w:t>.5关注并借助 “北医教工微语”平台开展线上线下结合的各类活动（2分）。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3A14" w:rsidRDefault="00F53A1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E32F2" w:rsidTr="005A639A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F2" w:rsidRPr="004E32F2" w:rsidRDefault="004E32F2" w:rsidP="00C054DB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E32F2">
              <w:rPr>
                <w:rFonts w:ascii="仿宋_GB2312" w:eastAsia="仿宋_GB2312" w:hAnsi="宋体" w:cs="宋体" w:hint="eastAsia"/>
                <w:kern w:val="0"/>
                <w:szCs w:val="21"/>
              </w:rPr>
              <w:t>10.其他事项  （10分）</w:t>
            </w:r>
          </w:p>
        </w:tc>
        <w:tc>
          <w:tcPr>
            <w:tcW w:w="10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F2" w:rsidRPr="004E32F2" w:rsidRDefault="00946DC9" w:rsidP="00C054DB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Theme="minorEastAsia" w:hAnsi="宋体" w:cs="宋体" w:hint="eastAsia"/>
                <w:kern w:val="0"/>
                <w:szCs w:val="21"/>
              </w:rPr>
              <w:t>10</w:t>
            </w:r>
            <w:r w:rsidR="004E32F2" w:rsidRPr="004E32F2">
              <w:rPr>
                <w:rFonts w:ascii="仿宋_GB2312" w:eastAsia="仿宋_GB2312" w:hAnsi="宋体" w:cs="宋体" w:hint="eastAsia"/>
                <w:kern w:val="0"/>
                <w:szCs w:val="21"/>
              </w:rPr>
              <w:t>.1医学部工会活动参与率、会议出勤率均达到100%。（3分）</w:t>
            </w:r>
          </w:p>
          <w:p w:rsidR="004E32F2" w:rsidRPr="004E32F2" w:rsidRDefault="00946DC9" w:rsidP="00C054DB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Theme="minorEastAsia" w:hAnsi="宋体" w:cs="宋体" w:hint="eastAsia"/>
                <w:kern w:val="0"/>
                <w:szCs w:val="21"/>
              </w:rPr>
              <w:t>10</w:t>
            </w:r>
            <w:r w:rsidR="004E32F2" w:rsidRPr="004E32F2">
              <w:rPr>
                <w:rFonts w:ascii="仿宋_GB2312" w:eastAsia="仿宋_GB2312" w:hAnsi="宋体" w:cs="宋体" w:hint="eastAsia"/>
                <w:kern w:val="0"/>
                <w:szCs w:val="21"/>
              </w:rPr>
              <w:t>.2积极参加医学部工会组织的各项工作会议、业务培训及活动等。（4分）</w:t>
            </w:r>
          </w:p>
          <w:p w:rsidR="004E32F2" w:rsidRPr="004E32F2" w:rsidRDefault="00946DC9" w:rsidP="00C054DB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Theme="minorEastAsia" w:hAnsi="宋体" w:cs="宋体" w:hint="eastAsia"/>
                <w:kern w:val="0"/>
                <w:szCs w:val="21"/>
              </w:rPr>
              <w:t>10</w:t>
            </w:r>
            <w:r w:rsidR="004E32F2" w:rsidRPr="004E32F2">
              <w:rPr>
                <w:rFonts w:ascii="仿宋_GB2312" w:eastAsia="仿宋_GB2312" w:hAnsi="宋体" w:cs="宋体" w:hint="eastAsia"/>
                <w:kern w:val="0"/>
                <w:szCs w:val="21"/>
              </w:rPr>
              <w:t>.3有本年医学部系统精品活动（3分）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2F2" w:rsidRDefault="004E32F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4E32F2" w:rsidTr="005A639A">
        <w:trPr>
          <w:trHeight w:val="570"/>
        </w:trPr>
        <w:tc>
          <w:tcPr>
            <w:tcW w:w="12615" w:type="dxa"/>
            <w:gridSpan w:val="2"/>
            <w:vAlign w:val="bottom"/>
            <w:hideMark/>
          </w:tcPr>
          <w:p w:rsidR="004E32F2" w:rsidRDefault="004E32F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注：★项为一票否决项。 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noWrap/>
            <w:vAlign w:val="bottom"/>
          </w:tcPr>
          <w:p w:rsidR="004E32F2" w:rsidRDefault="004E32F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5A639A" w:rsidRDefault="005A639A" w:rsidP="005A639A">
      <w:bookmarkStart w:id="0" w:name="_GoBack"/>
      <w:bookmarkEnd w:id="0"/>
    </w:p>
    <w:p w:rsidR="005102D5" w:rsidRPr="005A639A" w:rsidRDefault="005102D5"/>
    <w:sectPr w:rsidR="005102D5" w:rsidRPr="005A639A" w:rsidSect="005A63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47" w:rsidRDefault="009A1C47" w:rsidP="00BA3F62">
      <w:r>
        <w:separator/>
      </w:r>
    </w:p>
  </w:endnote>
  <w:endnote w:type="continuationSeparator" w:id="0">
    <w:p w:rsidR="009A1C47" w:rsidRDefault="009A1C47" w:rsidP="00BA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47" w:rsidRDefault="009A1C47" w:rsidP="00BA3F62">
      <w:r>
        <w:separator/>
      </w:r>
    </w:p>
  </w:footnote>
  <w:footnote w:type="continuationSeparator" w:id="0">
    <w:p w:rsidR="009A1C47" w:rsidRDefault="009A1C47" w:rsidP="00BA3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9A"/>
    <w:rsid w:val="000455F3"/>
    <w:rsid w:val="00116D79"/>
    <w:rsid w:val="00126EBF"/>
    <w:rsid w:val="001A238B"/>
    <w:rsid w:val="001B4087"/>
    <w:rsid w:val="001C2DC5"/>
    <w:rsid w:val="001E3E73"/>
    <w:rsid w:val="001F1FE6"/>
    <w:rsid w:val="001F41E2"/>
    <w:rsid w:val="00220FE6"/>
    <w:rsid w:val="00224A85"/>
    <w:rsid w:val="002544A2"/>
    <w:rsid w:val="002742B3"/>
    <w:rsid w:val="003719B1"/>
    <w:rsid w:val="00440004"/>
    <w:rsid w:val="004C5490"/>
    <w:rsid w:val="004D2160"/>
    <w:rsid w:val="004E32F2"/>
    <w:rsid w:val="004F38F5"/>
    <w:rsid w:val="005102D5"/>
    <w:rsid w:val="005A639A"/>
    <w:rsid w:val="005D7F62"/>
    <w:rsid w:val="006A06A2"/>
    <w:rsid w:val="00735B90"/>
    <w:rsid w:val="00800719"/>
    <w:rsid w:val="00855C98"/>
    <w:rsid w:val="009018D7"/>
    <w:rsid w:val="00946DC9"/>
    <w:rsid w:val="009A1C47"/>
    <w:rsid w:val="009A2F34"/>
    <w:rsid w:val="009D3A17"/>
    <w:rsid w:val="00AE348A"/>
    <w:rsid w:val="00B712B3"/>
    <w:rsid w:val="00BA3F62"/>
    <w:rsid w:val="00C02E3D"/>
    <w:rsid w:val="00D3025D"/>
    <w:rsid w:val="00E540BA"/>
    <w:rsid w:val="00F53A14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19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19B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3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3F6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A3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A3F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19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19B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3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A3F6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A3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A3F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张凤云</cp:lastModifiedBy>
  <cp:revision>24</cp:revision>
  <cp:lastPrinted>2019-11-22T01:00:00Z</cp:lastPrinted>
  <dcterms:created xsi:type="dcterms:W3CDTF">2019-11-04T05:07:00Z</dcterms:created>
  <dcterms:modified xsi:type="dcterms:W3CDTF">2021-11-26T07:43:00Z</dcterms:modified>
</cp:coreProperties>
</file>